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5" w:rsidRDefault="00A24185" w:rsidP="00A241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Podatki i doradztwo finansowe</w:t>
      </w:r>
      <w:r w:rsidRPr="00DF098C">
        <w:rPr>
          <w:rFonts w:ascii="Times New Roman" w:hAnsi="Times New Roman"/>
          <w:b/>
          <w:sz w:val="24"/>
          <w:szCs w:val="24"/>
        </w:rPr>
        <w:t>– pytania na egzamin licencjacki</w:t>
      </w:r>
    </w:p>
    <w:p w:rsidR="00A844FF" w:rsidRPr="00A24185" w:rsidRDefault="00A844FF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1. Omów istotę i funkcje finansów publicznych z perspektywy nauk ekonomicznych</w:t>
      </w:r>
    </w:p>
    <w:p w:rsidR="00A844FF" w:rsidRPr="00A24185" w:rsidRDefault="00A844FF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2. Wskaż główne źródła  dochodów publicznych i omów je na przykładzie budżetu państwa w Polsce</w:t>
      </w:r>
    </w:p>
    <w:p w:rsidR="00A844FF" w:rsidRPr="00A24185" w:rsidRDefault="00A844FF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3. Wyjaśnij na czym polega skuteczność i efektywność wydatków publicznych</w:t>
      </w:r>
    </w:p>
    <w:p w:rsidR="00A844FF" w:rsidRPr="00A24185" w:rsidRDefault="00A844FF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4. Wymień i krótko omów główne przyczyny powstawania długu publicznego</w:t>
      </w:r>
    </w:p>
    <w:p w:rsidR="00A844FF" w:rsidRPr="00A24185" w:rsidRDefault="003C57A2" w:rsidP="00A24185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5</w:t>
      </w:r>
      <w:r w:rsidR="00A241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A844FF" w:rsidRPr="00A24185">
        <w:rPr>
          <w:rFonts w:ascii="Times New Roman" w:hAnsi="Times New Roman" w:cs="Times New Roman"/>
          <w:sz w:val="24"/>
          <w:szCs w:val="24"/>
        </w:rPr>
        <w:t>Omów cechy ubezpieczenia społecznego jako metody realizacji zabezpieczenia społecznego</w:t>
      </w:r>
    </w:p>
    <w:p w:rsidR="00A844FF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6</w:t>
      </w:r>
      <w:r w:rsidR="00A844FF" w:rsidRPr="00A24185">
        <w:rPr>
          <w:rFonts w:ascii="Times New Roman" w:hAnsi="Times New Roman" w:cs="Times New Roman"/>
          <w:sz w:val="24"/>
          <w:szCs w:val="24"/>
        </w:rPr>
        <w:t>. Scharakteryzuj system ubezpieczeń społecznych w Polsce po reformie z 1999 roku z perspektywy uczestnika</w:t>
      </w:r>
    </w:p>
    <w:p w:rsidR="00A844FF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7</w:t>
      </w:r>
      <w:r w:rsidR="00A844FF" w:rsidRPr="00A24185">
        <w:rPr>
          <w:rFonts w:ascii="Times New Roman" w:hAnsi="Times New Roman" w:cs="Times New Roman"/>
          <w:sz w:val="24"/>
          <w:szCs w:val="24"/>
        </w:rPr>
        <w:t>. Omów zasady podlegania ubezpieczeniom społecznym pracowników</w:t>
      </w:r>
      <w:r w:rsidR="00334A97" w:rsidRPr="00A24185">
        <w:rPr>
          <w:rFonts w:ascii="Times New Roman" w:hAnsi="Times New Roman" w:cs="Times New Roman"/>
          <w:sz w:val="24"/>
          <w:szCs w:val="24"/>
        </w:rPr>
        <w:t xml:space="preserve"> w Polsce</w:t>
      </w:r>
    </w:p>
    <w:p w:rsidR="00A844FF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8</w:t>
      </w:r>
      <w:r w:rsidR="00A844FF" w:rsidRPr="00A24185">
        <w:rPr>
          <w:rFonts w:ascii="Times New Roman" w:hAnsi="Times New Roman" w:cs="Times New Roman"/>
          <w:sz w:val="24"/>
          <w:szCs w:val="24"/>
        </w:rPr>
        <w:t xml:space="preserve">. </w:t>
      </w:r>
      <w:r w:rsidR="00334A97" w:rsidRPr="00A24185">
        <w:rPr>
          <w:rFonts w:ascii="Times New Roman" w:hAnsi="Times New Roman" w:cs="Times New Roman"/>
          <w:sz w:val="24"/>
          <w:szCs w:val="24"/>
        </w:rPr>
        <w:t>Omów sytuację</w:t>
      </w:r>
      <w:r w:rsidR="00A844FF" w:rsidRPr="00A24185">
        <w:rPr>
          <w:rFonts w:ascii="Times New Roman" w:hAnsi="Times New Roman" w:cs="Times New Roman"/>
          <w:sz w:val="24"/>
          <w:szCs w:val="24"/>
        </w:rPr>
        <w:t xml:space="preserve"> osoby prowadzącej pozarolniczą działalność gospodarczą </w:t>
      </w:r>
      <w:r w:rsidR="00334A97" w:rsidRPr="00A24185">
        <w:rPr>
          <w:rFonts w:ascii="Times New Roman" w:hAnsi="Times New Roman" w:cs="Times New Roman"/>
          <w:sz w:val="24"/>
          <w:szCs w:val="24"/>
        </w:rPr>
        <w:t>w systemie ubezpieczeń społecznych w Polsce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9. Ocenić wpływ SSE na gospodarkę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10. Strategia podatkowa jako narzędzie optymalizacji podatkowej przedsiębiorstwa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11. Elementy techniki podatkowej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12. Formy opodatkowania działalności gospodarczej osób fizycznych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13. Wynik księgowy a wynik podatkowy w przedsiębiorstwie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14. Na czym polega zarządzanie ryzykiem w przedsiębiorstwie?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15. Dochody budżetowe i ich klasyfikacja</w:t>
      </w:r>
    </w:p>
    <w:p w:rsidR="003C57A2" w:rsidRPr="00A24185" w:rsidRDefault="003C57A2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16. Zasady podatkowe</w:t>
      </w:r>
    </w:p>
    <w:p w:rsidR="004331BA" w:rsidRPr="00A24185" w:rsidRDefault="0063281E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17.</w:t>
      </w:r>
      <w:r w:rsidR="004331BA" w:rsidRPr="00A24185">
        <w:rPr>
          <w:rFonts w:ascii="Times New Roman" w:hAnsi="Times New Roman" w:cs="Times New Roman"/>
          <w:sz w:val="24"/>
          <w:szCs w:val="24"/>
        </w:rPr>
        <w:t xml:space="preserve"> Źródła prawa podatkowego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18. Klasyfikacja podatków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19. Elementy konstrukcyjne podatków</w:t>
      </w:r>
    </w:p>
    <w:p w:rsidR="0063281E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20. Właściwość rzeczowa, miejscowa i funkcjonalna organów podatkowych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21. Interpretacje urzędowe przepisów prawa podatkowego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22. Wygasanie zobowiązań podatkowych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23. Odpowiedzialność podatkowa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24. Optymalizacja podatkowa a uchylanie się od podatku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25. Autonomia podatkowa jednostek samorządu terytorialnego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26.</w:t>
      </w:r>
      <w:r w:rsidR="006D2F46" w:rsidRPr="00A24185">
        <w:rPr>
          <w:rFonts w:ascii="Times New Roman" w:hAnsi="Times New Roman" w:cs="Times New Roman"/>
          <w:sz w:val="24"/>
          <w:szCs w:val="24"/>
        </w:rPr>
        <w:t xml:space="preserve"> Zasady ogólne postępowania podatkowego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6D2F46" w:rsidRPr="00A24185">
        <w:rPr>
          <w:rFonts w:ascii="Times New Roman" w:hAnsi="Times New Roman" w:cs="Times New Roman"/>
          <w:sz w:val="24"/>
          <w:szCs w:val="24"/>
        </w:rPr>
        <w:t xml:space="preserve"> Źródła przychodów w podatku dochodowym od osób fizycznych</w:t>
      </w:r>
    </w:p>
    <w:p w:rsidR="004331BA" w:rsidRPr="00A24185" w:rsidRDefault="00BE1EA6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28. Przedmiot opodatkowania w podatku od towarów i usług</w:t>
      </w:r>
    </w:p>
    <w:p w:rsidR="004331BA" w:rsidRPr="00A24185" w:rsidRDefault="00BE1EA6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>29. „Uszczelnianie” podatku od towarów i usług</w:t>
      </w:r>
    </w:p>
    <w:p w:rsidR="004331BA" w:rsidRPr="00A24185" w:rsidRDefault="004331BA" w:rsidP="00A24185">
      <w:pPr>
        <w:jc w:val="both"/>
        <w:rPr>
          <w:rFonts w:ascii="Times New Roman" w:hAnsi="Times New Roman" w:cs="Times New Roman"/>
          <w:sz w:val="24"/>
          <w:szCs w:val="24"/>
        </w:rPr>
      </w:pPr>
      <w:r w:rsidRPr="00A24185">
        <w:rPr>
          <w:rFonts w:ascii="Times New Roman" w:hAnsi="Times New Roman" w:cs="Times New Roman"/>
          <w:sz w:val="24"/>
          <w:szCs w:val="24"/>
        </w:rPr>
        <w:t xml:space="preserve">30. </w:t>
      </w:r>
      <w:r w:rsidR="00BE1EA6" w:rsidRPr="00A24185">
        <w:rPr>
          <w:rFonts w:ascii="Times New Roman" w:hAnsi="Times New Roman" w:cs="Times New Roman"/>
          <w:sz w:val="24"/>
          <w:szCs w:val="24"/>
        </w:rPr>
        <w:t>Kontrola podatkowa a kontrola celno-skarbowa</w:t>
      </w:r>
    </w:p>
    <w:sectPr w:rsidR="004331BA" w:rsidRPr="00A24185" w:rsidSect="00EF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BFF"/>
    <w:multiLevelType w:val="hybridMultilevel"/>
    <w:tmpl w:val="350A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F"/>
    <w:rsid w:val="00003226"/>
    <w:rsid w:val="0029175C"/>
    <w:rsid w:val="00334A97"/>
    <w:rsid w:val="003C57A2"/>
    <w:rsid w:val="004331BA"/>
    <w:rsid w:val="0063281E"/>
    <w:rsid w:val="006D2F46"/>
    <w:rsid w:val="00A24185"/>
    <w:rsid w:val="00A844FF"/>
    <w:rsid w:val="00BE1EA6"/>
    <w:rsid w:val="00C31B18"/>
    <w:rsid w:val="00E00AE4"/>
    <w:rsid w:val="00E66F87"/>
    <w:rsid w:val="00EF716B"/>
    <w:rsid w:val="00F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B53E6-6A23-4D42-9BC1-B398EA7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A2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Wanda Cyrzan</cp:lastModifiedBy>
  <cp:revision>2</cp:revision>
  <dcterms:created xsi:type="dcterms:W3CDTF">2018-04-24T08:04:00Z</dcterms:created>
  <dcterms:modified xsi:type="dcterms:W3CDTF">2018-04-24T08:04:00Z</dcterms:modified>
</cp:coreProperties>
</file>